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F" w:rsidRPr="00E603B9" w:rsidRDefault="006C1704" w:rsidP="00E6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гепатозащитных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свойств кормовой добавки ДАФС-25к</w:t>
      </w:r>
    </w:p>
    <w:p w:rsidR="00D43286" w:rsidRDefault="00D43286" w:rsidP="00B777E2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>Основной причиной токсической дистрофии печени является скармливание птице, а особенно молодняку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кормосмесей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202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4C8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о</w:t>
      </w:r>
      <w:r w:rsidRPr="002024C8">
        <w:rPr>
          <w:rFonts w:ascii="Times New Roman" w:hAnsi="Times New Roman"/>
          <w:sz w:val="28"/>
          <w:szCs w:val="28"/>
        </w:rPr>
        <w:t>кисленные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жиры (липиды). В жирах в результате длительного или неправильного хранения комбикормов и их компонентов активизируются процессы </w:t>
      </w:r>
      <w:proofErr w:type="spellStart"/>
      <w:r w:rsidRPr="002024C8">
        <w:rPr>
          <w:rFonts w:ascii="Times New Roman" w:hAnsi="Times New Roman"/>
          <w:sz w:val="28"/>
          <w:szCs w:val="28"/>
        </w:rPr>
        <w:t>свободнорадикального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окисления и образуются перекиси, альдегиды, кетоны и другие токсические продукты. Попадание в организм этих продуктов вызывает интенсификацию процессов перекисного окисления на уровне клеток и тканей, приводит к сдвигу кислотно-основного равновесия в кислую сторону, </w:t>
      </w:r>
      <w:proofErr w:type="spellStart"/>
      <w:r w:rsidRPr="002024C8">
        <w:rPr>
          <w:rFonts w:ascii="Times New Roman" w:hAnsi="Times New Roman"/>
          <w:sz w:val="28"/>
          <w:szCs w:val="28"/>
        </w:rPr>
        <w:t>инактивации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ферментов, повреждению мембран клеток. Развитию токсической дистрофии у молодняка птиц способствуют повышение в рационах птиц белков животного происхождения, нарушение соотношения в нем кальция и фосфора, недостаток </w:t>
      </w:r>
      <w:r>
        <w:rPr>
          <w:rFonts w:ascii="Times New Roman" w:hAnsi="Times New Roman"/>
          <w:sz w:val="28"/>
          <w:szCs w:val="28"/>
        </w:rPr>
        <w:t>жирорастворимых витаминов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Е, </w:t>
      </w:r>
      <w:r w:rsidRPr="002024C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 витамина С и группы В, а так же</w:t>
      </w:r>
      <w:r w:rsidRPr="002024C8">
        <w:rPr>
          <w:rFonts w:ascii="Times New Roman" w:hAnsi="Times New Roman"/>
          <w:sz w:val="28"/>
          <w:szCs w:val="28"/>
        </w:rPr>
        <w:t xml:space="preserve"> микроэлементов селена, кобальта, йода, марганца, меди и цинка.</w:t>
      </w:r>
    </w:p>
    <w:p w:rsidR="00D43286" w:rsidRDefault="00D43286" w:rsidP="00B777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отличительная черта</w:t>
      </w:r>
      <w:r w:rsidRPr="00202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кормовой добавки ДАФС-25к</w:t>
      </w:r>
      <w:r w:rsidRPr="002024C8">
        <w:rPr>
          <w:rFonts w:ascii="Times New Roman" w:hAnsi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2024C8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>оказывает положительное</w:t>
      </w:r>
      <w:r w:rsidRPr="00202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на организм и предупреждает развитие</w:t>
      </w:r>
      <w:r w:rsidRPr="002024C8">
        <w:rPr>
          <w:rFonts w:ascii="Times New Roman" w:hAnsi="Times New Roman"/>
          <w:sz w:val="28"/>
          <w:szCs w:val="28"/>
        </w:rPr>
        <w:t xml:space="preserve"> токсической дистрофии печени, поэтому возникла необходимость проведения дополнительных исследований с целью изучения </w:t>
      </w:r>
      <w:proofErr w:type="spellStart"/>
      <w:r w:rsidRPr="002024C8">
        <w:rPr>
          <w:rFonts w:ascii="Times New Roman" w:hAnsi="Times New Roman"/>
          <w:sz w:val="28"/>
          <w:szCs w:val="28"/>
        </w:rPr>
        <w:t>гепатозащитных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свойств кормовой добавки ДАФС-25</w:t>
      </w:r>
      <w:r>
        <w:rPr>
          <w:rFonts w:ascii="Times New Roman" w:hAnsi="Times New Roman"/>
          <w:sz w:val="28"/>
          <w:szCs w:val="28"/>
        </w:rPr>
        <w:t>к</w:t>
      </w:r>
      <w:r w:rsidRPr="002024C8">
        <w:rPr>
          <w:rFonts w:ascii="Times New Roman" w:hAnsi="Times New Roman"/>
          <w:sz w:val="28"/>
          <w:szCs w:val="28"/>
        </w:rPr>
        <w:t>.</w:t>
      </w:r>
    </w:p>
    <w:p w:rsidR="006228EB" w:rsidRPr="002024C8" w:rsidRDefault="006228EB" w:rsidP="00B777E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 w:rsidRPr="002024C8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6228EB" w:rsidRPr="002024C8" w:rsidRDefault="006228EB" w:rsidP="00B77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 xml:space="preserve">В этой связи в 2015 году в ФГБОУ </w:t>
      </w:r>
      <w:proofErr w:type="gramStart"/>
      <w:r w:rsidRPr="002024C8">
        <w:rPr>
          <w:rFonts w:ascii="Times New Roman" w:hAnsi="Times New Roman"/>
          <w:sz w:val="28"/>
          <w:szCs w:val="28"/>
        </w:rPr>
        <w:t>ВО</w:t>
      </w:r>
      <w:proofErr w:type="gramEnd"/>
      <w:r w:rsidRPr="002024C8">
        <w:rPr>
          <w:rFonts w:ascii="Times New Roman" w:hAnsi="Times New Roman"/>
          <w:sz w:val="28"/>
          <w:szCs w:val="28"/>
        </w:rPr>
        <w:t xml:space="preserve"> Саратовском аграрном у</w:t>
      </w:r>
      <w:r>
        <w:rPr>
          <w:rFonts w:ascii="Times New Roman" w:hAnsi="Times New Roman"/>
          <w:sz w:val="28"/>
          <w:szCs w:val="28"/>
        </w:rPr>
        <w:t>ниверситете на базе вивария был проведен научный</w:t>
      </w:r>
      <w:r w:rsidRPr="00202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</w:t>
      </w:r>
      <w:r w:rsidRPr="002024C8">
        <w:rPr>
          <w:rFonts w:ascii="Times New Roman" w:hAnsi="Times New Roman"/>
          <w:sz w:val="28"/>
          <w:szCs w:val="28"/>
        </w:rPr>
        <w:t>.</w:t>
      </w:r>
    </w:p>
    <w:p w:rsidR="006228EB" w:rsidRPr="002024C8" w:rsidRDefault="006228EB" w:rsidP="00B77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>Экспериментальная работа имела цель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4C8">
        <w:rPr>
          <w:rFonts w:ascii="Times New Roman" w:hAnsi="Times New Roman"/>
          <w:sz w:val="28"/>
          <w:szCs w:val="28"/>
        </w:rPr>
        <w:t xml:space="preserve"> изучить возмо</w:t>
      </w:r>
      <w:r>
        <w:rPr>
          <w:rFonts w:ascii="Times New Roman" w:hAnsi="Times New Roman"/>
          <w:sz w:val="28"/>
          <w:szCs w:val="28"/>
        </w:rPr>
        <w:t>жность применения в рационе кур-</w:t>
      </w:r>
      <w:r w:rsidRPr="002024C8">
        <w:rPr>
          <w:rFonts w:ascii="Times New Roman" w:hAnsi="Times New Roman"/>
          <w:sz w:val="28"/>
          <w:szCs w:val="28"/>
        </w:rPr>
        <w:t xml:space="preserve">несушек </w:t>
      </w:r>
      <w:r>
        <w:rPr>
          <w:rFonts w:ascii="Times New Roman" w:hAnsi="Times New Roman"/>
          <w:sz w:val="28"/>
          <w:szCs w:val="28"/>
        </w:rPr>
        <w:t>кормовой добавки ДАФС- 25к и с</w:t>
      </w:r>
      <w:r w:rsidRPr="002024C8">
        <w:rPr>
          <w:rFonts w:ascii="Times New Roman" w:hAnsi="Times New Roman"/>
          <w:sz w:val="28"/>
          <w:szCs w:val="28"/>
        </w:rPr>
        <w:t xml:space="preserve">овременного адсорбента на основе бентонита </w:t>
      </w:r>
      <w:r w:rsidRPr="006228EB">
        <w:rPr>
          <w:rFonts w:ascii="Times New Roman" w:hAnsi="Times New Roman" w:cs="Times New Roman"/>
          <w:sz w:val="28"/>
          <w:szCs w:val="28"/>
        </w:rPr>
        <w:t>иностранного производства в сравнительном аспекте. Для выполнения поставлен</w:t>
      </w:r>
      <w:r w:rsidRPr="002024C8">
        <w:rPr>
          <w:rFonts w:ascii="Times New Roman" w:hAnsi="Times New Roman"/>
          <w:sz w:val="28"/>
          <w:szCs w:val="28"/>
        </w:rPr>
        <w:t>ной задачи в условиях вивария СГАУ был проведен научный экспер</w:t>
      </w:r>
      <w:r>
        <w:rPr>
          <w:rFonts w:ascii="Times New Roman" w:hAnsi="Times New Roman"/>
          <w:sz w:val="28"/>
          <w:szCs w:val="28"/>
        </w:rPr>
        <w:t>имент на курах-несушках породы белый С</w:t>
      </w:r>
      <w:r w:rsidRPr="002024C8">
        <w:rPr>
          <w:rFonts w:ascii="Times New Roman" w:hAnsi="Times New Roman"/>
          <w:sz w:val="28"/>
          <w:szCs w:val="28"/>
        </w:rPr>
        <w:t>упер Ник в возрасте 130 дней.</w:t>
      </w:r>
    </w:p>
    <w:p w:rsidR="006228EB" w:rsidRPr="002024C8" w:rsidRDefault="006228EB" w:rsidP="00B77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>По принципу аналогов было сформировано три группы:</w:t>
      </w:r>
      <w:r w:rsidR="00C57295">
        <w:rPr>
          <w:rFonts w:ascii="Times New Roman" w:hAnsi="Times New Roman"/>
          <w:sz w:val="28"/>
          <w:szCs w:val="28"/>
        </w:rPr>
        <w:t xml:space="preserve"> две опытные и одна контрольная,</w:t>
      </w:r>
      <w:r w:rsidRPr="002024C8">
        <w:rPr>
          <w:rFonts w:ascii="Times New Roman" w:hAnsi="Times New Roman"/>
          <w:sz w:val="28"/>
          <w:szCs w:val="28"/>
        </w:rPr>
        <w:t xml:space="preserve"> по 10 голов в каждой. Кормление птицы осуществляли вволю сбалансированным </w:t>
      </w:r>
      <w:r w:rsidR="00C57295">
        <w:rPr>
          <w:rFonts w:ascii="Times New Roman" w:hAnsi="Times New Roman"/>
          <w:sz w:val="28"/>
          <w:szCs w:val="28"/>
        </w:rPr>
        <w:t>комбикормом для молодняка кур с параметрами питательности</w:t>
      </w:r>
      <w:r w:rsidRPr="002024C8">
        <w:rPr>
          <w:rFonts w:ascii="Times New Roman" w:hAnsi="Times New Roman"/>
          <w:sz w:val="28"/>
          <w:szCs w:val="28"/>
        </w:rPr>
        <w:t>,</w:t>
      </w:r>
      <w:r w:rsidR="00C57295">
        <w:rPr>
          <w:rFonts w:ascii="Times New Roman" w:hAnsi="Times New Roman"/>
          <w:sz w:val="28"/>
          <w:szCs w:val="28"/>
        </w:rPr>
        <w:t xml:space="preserve"> </w:t>
      </w:r>
      <w:r w:rsidRPr="002024C8">
        <w:rPr>
          <w:rFonts w:ascii="Times New Roman" w:hAnsi="Times New Roman"/>
          <w:sz w:val="28"/>
          <w:szCs w:val="28"/>
        </w:rPr>
        <w:t>соответствующими рекомендуемым н</w:t>
      </w:r>
      <w:r w:rsidR="00C57295">
        <w:rPr>
          <w:rFonts w:ascii="Times New Roman" w:hAnsi="Times New Roman"/>
          <w:sz w:val="28"/>
          <w:szCs w:val="28"/>
        </w:rPr>
        <w:t>ормам кормления ВНИТИП (2003).</w:t>
      </w:r>
    </w:p>
    <w:p w:rsidR="00C57295" w:rsidRDefault="006228EB" w:rsidP="00B77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 xml:space="preserve">Принимая во внимание объективные данные, указывающие на способность </w:t>
      </w:r>
      <w:proofErr w:type="spellStart"/>
      <w:r w:rsidRPr="002024C8">
        <w:rPr>
          <w:rFonts w:ascii="Times New Roman" w:hAnsi="Times New Roman"/>
          <w:sz w:val="28"/>
          <w:szCs w:val="28"/>
        </w:rPr>
        <w:t>селенсодержащих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препаратов, посредством специфического увеличения активности антиокислительных и </w:t>
      </w:r>
      <w:proofErr w:type="spellStart"/>
      <w:r w:rsidRPr="002024C8">
        <w:rPr>
          <w:rFonts w:ascii="Times New Roman" w:hAnsi="Times New Roman"/>
          <w:sz w:val="28"/>
          <w:szCs w:val="28"/>
        </w:rPr>
        <w:t>антирадикальных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ферментов в организме животных ока</w:t>
      </w:r>
      <w:r w:rsidR="00C57295">
        <w:rPr>
          <w:rFonts w:ascii="Times New Roman" w:hAnsi="Times New Roman"/>
          <w:sz w:val="28"/>
          <w:szCs w:val="28"/>
        </w:rPr>
        <w:t>зывать мощное защитное действие,</w:t>
      </w:r>
      <w:r w:rsidRPr="002024C8">
        <w:rPr>
          <w:rFonts w:ascii="Times New Roman" w:hAnsi="Times New Roman"/>
          <w:sz w:val="28"/>
          <w:szCs w:val="28"/>
        </w:rPr>
        <w:t xml:space="preserve"> было проведено</w:t>
      </w:r>
      <w:r w:rsidR="00C57295">
        <w:rPr>
          <w:rFonts w:ascii="Times New Roman" w:hAnsi="Times New Roman"/>
          <w:sz w:val="28"/>
          <w:szCs w:val="28"/>
        </w:rPr>
        <w:t xml:space="preserve"> экспериментальное исследование</w:t>
      </w:r>
      <w:r w:rsidRPr="002024C8">
        <w:rPr>
          <w:rFonts w:ascii="Times New Roman" w:hAnsi="Times New Roman"/>
          <w:sz w:val="28"/>
          <w:szCs w:val="28"/>
        </w:rPr>
        <w:t>,</w:t>
      </w:r>
      <w:r w:rsidR="00C57295">
        <w:rPr>
          <w:rFonts w:ascii="Times New Roman" w:hAnsi="Times New Roman"/>
          <w:sz w:val="28"/>
          <w:szCs w:val="28"/>
        </w:rPr>
        <w:t xml:space="preserve"> </w:t>
      </w:r>
      <w:r w:rsidRPr="002024C8">
        <w:rPr>
          <w:rFonts w:ascii="Times New Roman" w:hAnsi="Times New Roman"/>
          <w:sz w:val="28"/>
          <w:szCs w:val="28"/>
        </w:rPr>
        <w:t>моделирующе</w:t>
      </w:r>
      <w:r w:rsidR="00C57295">
        <w:rPr>
          <w:rFonts w:ascii="Times New Roman" w:hAnsi="Times New Roman"/>
          <w:sz w:val="28"/>
          <w:szCs w:val="28"/>
        </w:rPr>
        <w:t>е токсическую дистрофию печени.</w:t>
      </w:r>
    </w:p>
    <w:p w:rsidR="00C57295" w:rsidRDefault="006228EB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C8">
        <w:rPr>
          <w:sz w:val="28"/>
          <w:szCs w:val="28"/>
        </w:rPr>
        <w:t>Моделирование заболевания проводили с помощью СС</w:t>
      </w:r>
      <w:r w:rsidRPr="002024C8">
        <w:rPr>
          <w:sz w:val="28"/>
          <w:szCs w:val="28"/>
          <w:lang w:val="en-US"/>
        </w:rPr>
        <w:t>I</w:t>
      </w:r>
      <w:r w:rsidRPr="002024C8">
        <w:rPr>
          <w:sz w:val="28"/>
          <w:szCs w:val="28"/>
        </w:rPr>
        <w:t xml:space="preserve">4 (четыреххлористого углерода). Птице, всех сформированных групп, вводился </w:t>
      </w:r>
      <w:proofErr w:type="spellStart"/>
      <w:r>
        <w:rPr>
          <w:sz w:val="28"/>
          <w:szCs w:val="28"/>
        </w:rPr>
        <w:t>внутрижелудочно</w:t>
      </w:r>
      <w:proofErr w:type="spellEnd"/>
      <w:r w:rsidRPr="002024C8">
        <w:rPr>
          <w:sz w:val="28"/>
          <w:szCs w:val="28"/>
        </w:rPr>
        <w:t xml:space="preserve"> СС</w:t>
      </w:r>
      <w:r w:rsidRPr="002024C8">
        <w:rPr>
          <w:sz w:val="28"/>
          <w:szCs w:val="28"/>
          <w:lang w:val="en-US"/>
        </w:rPr>
        <w:t>I</w:t>
      </w:r>
      <w:r w:rsidR="00C57295">
        <w:rPr>
          <w:sz w:val="28"/>
          <w:szCs w:val="28"/>
        </w:rPr>
        <w:t>4 в 50%</w:t>
      </w:r>
      <w:r w:rsidRPr="002024C8">
        <w:rPr>
          <w:sz w:val="28"/>
          <w:szCs w:val="28"/>
        </w:rPr>
        <w:t xml:space="preserve"> растворе на подсолнечном масле однократно в дозе 4 мл/кг</w:t>
      </w:r>
      <w:r>
        <w:rPr>
          <w:sz w:val="28"/>
          <w:szCs w:val="28"/>
        </w:rPr>
        <w:t>, однократно</w:t>
      </w:r>
      <w:r w:rsidR="00C57295">
        <w:rPr>
          <w:sz w:val="28"/>
          <w:szCs w:val="28"/>
        </w:rPr>
        <w:t xml:space="preserve"> </w:t>
      </w:r>
      <w:r w:rsidR="00C57295">
        <w:rPr>
          <w:sz w:val="28"/>
          <w:szCs w:val="28"/>
        </w:rPr>
        <w:t xml:space="preserve">(данная доза соответствовала </w:t>
      </w:r>
      <w:proofErr w:type="spellStart"/>
      <w:r w:rsidR="00C57295">
        <w:rPr>
          <w:sz w:val="28"/>
          <w:szCs w:val="28"/>
        </w:rPr>
        <w:t>среднесмертельной</w:t>
      </w:r>
      <w:proofErr w:type="spellEnd"/>
      <w:r w:rsidR="00C57295">
        <w:rPr>
          <w:sz w:val="28"/>
          <w:szCs w:val="28"/>
        </w:rPr>
        <w:t xml:space="preserve"> дозе, поэтому в опыте был взят только позитивный контроль, с целью сохранности поголовья).</w:t>
      </w:r>
      <w:r w:rsidR="00C57295">
        <w:rPr>
          <w:sz w:val="28"/>
          <w:szCs w:val="28"/>
        </w:rPr>
        <w:t xml:space="preserve"> </w:t>
      </w:r>
      <w:r w:rsidRPr="002024C8">
        <w:rPr>
          <w:sz w:val="28"/>
          <w:szCs w:val="28"/>
        </w:rPr>
        <w:t xml:space="preserve">Изучаемые кормовые добавки вводили за неделю до эксперимента </w:t>
      </w:r>
      <w:r w:rsidR="00C57295">
        <w:rPr>
          <w:sz w:val="28"/>
          <w:szCs w:val="28"/>
        </w:rPr>
        <w:t>в течение 30 дней.</w:t>
      </w:r>
    </w:p>
    <w:p w:rsidR="00C57295" w:rsidRDefault="00C57295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1-я группа – позитивный контроль – ОР+1,6 мг/кгДАФС-25к</w:t>
      </w:r>
    </w:p>
    <w:p w:rsidR="00C57295" w:rsidRPr="002564CC" w:rsidRDefault="00C57295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2-я группа – опытная – ОР+1,6 мг/кг ДАФС-25к+2 г/кг адсорбента</w:t>
      </w:r>
    </w:p>
    <w:p w:rsidR="00C57295" w:rsidRDefault="00C57295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3-я группа – опытная – ОР+4,8 мг/кг ДАФС-25к</w:t>
      </w:r>
    </w:p>
    <w:p w:rsidR="00B41A2C" w:rsidRDefault="00B41A2C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так, </w:t>
      </w:r>
      <w:r w:rsidR="00C57295">
        <w:rPr>
          <w:sz w:val="28"/>
          <w:szCs w:val="28"/>
        </w:rPr>
        <w:t>1,6 мг/</w:t>
      </w:r>
      <w:r w:rsidR="00C57295">
        <w:rPr>
          <w:sz w:val="28"/>
          <w:szCs w:val="28"/>
        </w:rPr>
        <w:t>кг – доза профил</w:t>
      </w:r>
      <w:r w:rsidR="00C57295">
        <w:rPr>
          <w:sz w:val="28"/>
          <w:szCs w:val="28"/>
        </w:rPr>
        <w:t>актическая</w:t>
      </w:r>
      <w:r>
        <w:rPr>
          <w:sz w:val="28"/>
          <w:szCs w:val="28"/>
        </w:rPr>
        <w:t>, согласно инструкции;</w:t>
      </w:r>
    </w:p>
    <w:p w:rsidR="00C57295" w:rsidRDefault="00C57295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4,8 мг/кг – </w:t>
      </w:r>
      <w:proofErr w:type="gramStart"/>
      <w:r>
        <w:rPr>
          <w:sz w:val="28"/>
          <w:szCs w:val="28"/>
        </w:rPr>
        <w:t>терапевтическая</w:t>
      </w:r>
      <w:proofErr w:type="gramEnd"/>
      <w:r>
        <w:rPr>
          <w:sz w:val="28"/>
          <w:szCs w:val="28"/>
        </w:rPr>
        <w:t xml:space="preserve"> (увеличена трехкратно).</w:t>
      </w:r>
    </w:p>
    <w:p w:rsidR="006228EB" w:rsidRDefault="006228EB" w:rsidP="00B777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lastRenderedPageBreak/>
        <w:t>В период эксперимента через 10, 20, 30 дней проводили физиоло</w:t>
      </w:r>
      <w:r w:rsidR="00C57295">
        <w:rPr>
          <w:rFonts w:ascii="Times New Roman" w:hAnsi="Times New Roman"/>
          <w:sz w:val="28"/>
          <w:szCs w:val="28"/>
        </w:rPr>
        <w:t>го</w:t>
      </w:r>
      <w:r w:rsidRPr="002024C8">
        <w:rPr>
          <w:rFonts w:ascii="Times New Roman" w:hAnsi="Times New Roman"/>
          <w:sz w:val="28"/>
          <w:szCs w:val="28"/>
        </w:rPr>
        <w:t>-биохимические исследования. Для выполнения запланированного объема анализов у птицы по 3 головы из каждой группы брали кровь в соответствии с «Методическими рекомендациями по проведению научных исследований по физиологии и биохимии».</w:t>
      </w:r>
    </w:p>
    <w:p w:rsidR="00B41A2C" w:rsidRPr="00741E31" w:rsidRDefault="00B41A2C" w:rsidP="00B777E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1E31">
        <w:rPr>
          <w:rFonts w:ascii="Times New Roman" w:hAnsi="Times New Roman"/>
          <w:b/>
          <w:sz w:val="28"/>
          <w:szCs w:val="28"/>
        </w:rPr>
        <w:t>Результаты исследований</w:t>
      </w:r>
    </w:p>
    <w:p w:rsidR="00B41A2C" w:rsidRPr="002024C8" w:rsidRDefault="00B41A2C" w:rsidP="00B77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>Биохимические исследования проводили в сертифицированной молекулярной лаборатории каф. «Болезни животных и ВСЭ СГАУ».</w:t>
      </w:r>
    </w:p>
    <w:p w:rsidR="00B41A2C" w:rsidRDefault="00B41A2C" w:rsidP="00B7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4C8">
        <w:rPr>
          <w:rFonts w:ascii="Times New Roman" w:hAnsi="Times New Roman"/>
          <w:sz w:val="28"/>
          <w:szCs w:val="28"/>
        </w:rPr>
        <w:t xml:space="preserve">Результаты анализа </w:t>
      </w:r>
      <w:r>
        <w:rPr>
          <w:rFonts w:ascii="Times New Roman" w:hAnsi="Times New Roman"/>
          <w:sz w:val="28"/>
          <w:szCs w:val="28"/>
        </w:rPr>
        <w:t xml:space="preserve">обработаны </w:t>
      </w:r>
      <w:r w:rsidRPr="002024C8">
        <w:rPr>
          <w:rFonts w:ascii="Times New Roman" w:hAnsi="Times New Roman"/>
          <w:sz w:val="28"/>
          <w:szCs w:val="28"/>
        </w:rPr>
        <w:t xml:space="preserve">биометрической </w:t>
      </w:r>
      <w:r>
        <w:rPr>
          <w:rFonts w:ascii="Times New Roman" w:hAnsi="Times New Roman"/>
          <w:sz w:val="28"/>
          <w:szCs w:val="28"/>
        </w:rPr>
        <w:t>и</w:t>
      </w:r>
      <w:r w:rsidRPr="002024C8">
        <w:rPr>
          <w:rFonts w:ascii="Times New Roman" w:hAnsi="Times New Roman"/>
          <w:sz w:val="28"/>
          <w:szCs w:val="28"/>
        </w:rPr>
        <w:t xml:space="preserve"> сведены в таблице.</w:t>
      </w:r>
      <w:proofErr w:type="gramEnd"/>
    </w:p>
    <w:p w:rsidR="00B41A2C" w:rsidRPr="00B41A2C" w:rsidRDefault="00B41A2C" w:rsidP="00B41A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A2C">
        <w:rPr>
          <w:rFonts w:ascii="Times New Roman" w:hAnsi="Times New Roman"/>
          <w:b/>
          <w:bCs/>
          <w:sz w:val="28"/>
          <w:szCs w:val="28"/>
        </w:rPr>
        <w:t xml:space="preserve">Уровень </w:t>
      </w:r>
      <w:proofErr w:type="spellStart"/>
      <w:r w:rsidRPr="00B41A2C">
        <w:rPr>
          <w:rFonts w:ascii="Times New Roman" w:hAnsi="Times New Roman"/>
          <w:b/>
          <w:bCs/>
          <w:sz w:val="28"/>
          <w:szCs w:val="28"/>
        </w:rPr>
        <w:t>глутатионпероксидазы</w:t>
      </w:r>
      <w:proofErr w:type="spellEnd"/>
      <w:r w:rsidRPr="00B41A2C">
        <w:rPr>
          <w:rFonts w:ascii="Times New Roman" w:hAnsi="Times New Roman"/>
          <w:b/>
          <w:bCs/>
          <w:sz w:val="28"/>
          <w:szCs w:val="28"/>
        </w:rPr>
        <w:t xml:space="preserve"> в крови кур</w:t>
      </w:r>
      <w:r w:rsidR="00715CE2">
        <w:rPr>
          <w:rFonts w:ascii="Times New Roman" w:hAnsi="Times New Roman"/>
          <w:b/>
          <w:bCs/>
          <w:sz w:val="28"/>
          <w:szCs w:val="28"/>
        </w:rPr>
        <w:t xml:space="preserve"> через 10 дней</w:t>
      </w:r>
    </w:p>
    <w:tbl>
      <w:tblPr>
        <w:tblStyle w:val="a6"/>
        <w:tblW w:w="10031" w:type="dxa"/>
        <w:tblLook w:val="0420" w:firstRow="1" w:lastRow="0" w:firstColumn="0" w:lastColumn="0" w:noHBand="0" w:noVBand="1"/>
      </w:tblPr>
      <w:tblGrid>
        <w:gridCol w:w="3652"/>
        <w:gridCol w:w="2977"/>
        <w:gridCol w:w="3402"/>
      </w:tblGrid>
      <w:tr w:rsidR="00B41A2C" w:rsidRPr="00715CE2" w:rsidTr="00EC1BB5">
        <w:trPr>
          <w:trHeight w:val="492"/>
        </w:trPr>
        <w:tc>
          <w:tcPr>
            <w:tcW w:w="3652" w:type="dxa"/>
            <w:hideMark/>
          </w:tcPr>
          <w:p w:rsidR="00000000" w:rsidRPr="00715CE2" w:rsidRDefault="00B41A2C" w:rsidP="00715CE2">
            <w:pPr>
              <w:tabs>
                <w:tab w:val="left" w:pos="4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hideMark/>
          </w:tcPr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На начало опыта</w:t>
            </w:r>
          </w:p>
        </w:tc>
        <w:tc>
          <w:tcPr>
            <w:tcW w:w="3402" w:type="dxa"/>
            <w:hideMark/>
          </w:tcPr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Через 10 дней</w:t>
            </w:r>
          </w:p>
        </w:tc>
      </w:tr>
      <w:tr w:rsidR="00B41A2C" w:rsidRPr="00715CE2" w:rsidTr="00EC1BB5">
        <w:trPr>
          <w:trHeight w:val="567"/>
        </w:trPr>
        <w:tc>
          <w:tcPr>
            <w:tcW w:w="3652" w:type="dxa"/>
            <w:hideMark/>
          </w:tcPr>
          <w:p w:rsidR="00B41A2C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1-я Позитивный контроль</w:t>
            </w:r>
          </w:p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000000" w:rsidRPr="00715CE2" w:rsidRDefault="00B41A2C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2,8 НАДФН/мин</w:t>
            </w:r>
          </w:p>
        </w:tc>
        <w:tc>
          <w:tcPr>
            <w:tcW w:w="3402" w:type="dxa"/>
            <w:hideMark/>
          </w:tcPr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3,9 НАДФН/мин.</w:t>
            </w:r>
          </w:p>
        </w:tc>
      </w:tr>
      <w:tr w:rsidR="00B41A2C" w:rsidRPr="00715CE2" w:rsidTr="00EC1BB5">
        <w:trPr>
          <w:trHeight w:val="567"/>
        </w:trPr>
        <w:tc>
          <w:tcPr>
            <w:tcW w:w="3652" w:type="dxa"/>
            <w:hideMark/>
          </w:tcPr>
          <w:p w:rsidR="00B41A2C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2-я Опытная</w:t>
            </w:r>
          </w:p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 + 2 г/кг адсорбента</w:t>
            </w:r>
          </w:p>
        </w:tc>
        <w:tc>
          <w:tcPr>
            <w:tcW w:w="2977" w:type="dxa"/>
            <w:vMerge/>
            <w:hideMark/>
          </w:tcPr>
          <w:p w:rsidR="00B41A2C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4,6 НАДФН/мин.</w:t>
            </w:r>
            <w:r w:rsidR="000F0A7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B41A2C" w:rsidRPr="00715CE2" w:rsidTr="00715CE2">
        <w:trPr>
          <w:trHeight w:val="62"/>
        </w:trPr>
        <w:tc>
          <w:tcPr>
            <w:tcW w:w="3652" w:type="dxa"/>
            <w:hideMark/>
          </w:tcPr>
          <w:p w:rsidR="00B41A2C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3-я Опытная</w:t>
            </w:r>
          </w:p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+ 4,8 мг/кг ДАФС-25к</w:t>
            </w:r>
          </w:p>
        </w:tc>
        <w:tc>
          <w:tcPr>
            <w:tcW w:w="2977" w:type="dxa"/>
            <w:vMerge/>
            <w:hideMark/>
          </w:tcPr>
          <w:p w:rsidR="00B41A2C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00000" w:rsidRPr="00715CE2" w:rsidRDefault="00B41A2C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6,5 НАДФН/мин.</w:t>
            </w:r>
            <w:r w:rsidR="000F0A7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EC1BB5" w:rsidRDefault="00EC1BB5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10 дней после </w:t>
      </w:r>
      <w:r w:rsidR="000F0A75">
        <w:rPr>
          <w:sz w:val="28"/>
          <w:szCs w:val="28"/>
        </w:rPr>
        <w:t xml:space="preserve">внутрижелудочного введения </w:t>
      </w:r>
      <w:r w:rsidR="000F0A75" w:rsidRPr="002024C8">
        <w:rPr>
          <w:sz w:val="28"/>
          <w:szCs w:val="28"/>
        </w:rPr>
        <w:t>СС</w:t>
      </w:r>
      <w:r w:rsidR="000F0A75" w:rsidRPr="002024C8">
        <w:rPr>
          <w:sz w:val="28"/>
          <w:szCs w:val="28"/>
          <w:lang w:val="en-US"/>
        </w:rPr>
        <w:t>I</w:t>
      </w:r>
      <w:r w:rsidR="000F0A75" w:rsidRPr="002024C8">
        <w:rPr>
          <w:sz w:val="28"/>
          <w:szCs w:val="28"/>
        </w:rPr>
        <w:t>4</w:t>
      </w:r>
      <w:r w:rsidR="000F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взята кровь, в таблице ярко выражено повышение активности </w:t>
      </w:r>
      <w:proofErr w:type="spellStart"/>
      <w:r>
        <w:rPr>
          <w:sz w:val="28"/>
          <w:szCs w:val="28"/>
        </w:rPr>
        <w:t>глутатионпероксидазы</w:t>
      </w:r>
      <w:proofErr w:type="spellEnd"/>
      <w:r>
        <w:rPr>
          <w:sz w:val="28"/>
          <w:szCs w:val="28"/>
        </w:rPr>
        <w:t xml:space="preserve"> прямо пропорционально увеличению дозы ДАФС-25к в рационе. Повышение активности данного фермента на 67%, по сравнению с контролем,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при интенсификации </w:t>
      </w:r>
      <w:proofErr w:type="spellStart"/>
      <w:r>
        <w:rPr>
          <w:sz w:val="28"/>
          <w:szCs w:val="28"/>
        </w:rPr>
        <w:t>свободнорадикальных</w:t>
      </w:r>
      <w:proofErr w:type="spellEnd"/>
      <w:r>
        <w:rPr>
          <w:sz w:val="28"/>
          <w:szCs w:val="28"/>
        </w:rPr>
        <w:t xml:space="preserve"> процессов.</w:t>
      </w:r>
    </w:p>
    <w:p w:rsidR="00EC1BB5" w:rsidRDefault="00F5498F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проводились исследования биохимических показателей крови: АСТ и АЛТ, </w:t>
      </w:r>
      <w:proofErr w:type="gramStart"/>
      <w:r w:rsidR="000F0A75">
        <w:rPr>
          <w:sz w:val="28"/>
          <w:szCs w:val="28"/>
        </w:rPr>
        <w:t>α-</w:t>
      </w:r>
      <w:proofErr w:type="gramEnd"/>
      <w:r w:rsidR="000F0A75">
        <w:rPr>
          <w:sz w:val="28"/>
          <w:szCs w:val="28"/>
        </w:rPr>
        <w:t xml:space="preserve">амилаза, </w:t>
      </w:r>
      <w:r>
        <w:rPr>
          <w:sz w:val="28"/>
          <w:szCs w:val="28"/>
        </w:rPr>
        <w:t>общий белок и общий билирубин</w:t>
      </w:r>
      <w:r w:rsidR="00E4745F">
        <w:rPr>
          <w:sz w:val="28"/>
          <w:szCs w:val="28"/>
        </w:rPr>
        <w:t>.</w:t>
      </w:r>
    </w:p>
    <w:p w:rsidR="00EC1BB5" w:rsidRPr="00715CE2" w:rsidRDefault="00715CE2" w:rsidP="003F34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5CE2">
        <w:rPr>
          <w:b/>
          <w:sz w:val="28"/>
          <w:szCs w:val="28"/>
        </w:rPr>
        <w:t>Биохимические показатели крови кур-несушек ч</w:t>
      </w:r>
      <w:r w:rsidR="00EC1BB5" w:rsidRPr="00715CE2">
        <w:rPr>
          <w:b/>
          <w:sz w:val="28"/>
          <w:szCs w:val="28"/>
        </w:rPr>
        <w:t>ерез 10 дней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3085"/>
        <w:gridCol w:w="1276"/>
        <w:gridCol w:w="1276"/>
        <w:gridCol w:w="1417"/>
        <w:gridCol w:w="1418"/>
        <w:gridCol w:w="1490"/>
      </w:tblGrid>
      <w:tr w:rsidR="00A8086F" w:rsidRPr="00715CE2" w:rsidTr="00715CE2">
        <w:trPr>
          <w:trHeight w:val="916"/>
        </w:trPr>
        <w:tc>
          <w:tcPr>
            <w:tcW w:w="3085" w:type="dxa"/>
            <w:hideMark/>
          </w:tcPr>
          <w:p w:rsidR="00EC1BB5" w:rsidRPr="00715CE2" w:rsidRDefault="00EC1BB5" w:rsidP="00715CE2">
            <w:pPr>
              <w:tabs>
                <w:tab w:val="left" w:pos="4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EC1BB5" w:rsidRPr="00715CE2" w:rsidRDefault="00EC1BB5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АСТ,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EC1BB5" w:rsidRPr="00715CE2" w:rsidRDefault="00EC1BB5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АЛТ,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EC1BB5" w:rsidRPr="00715CE2" w:rsidRDefault="00715CE2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715CE2">
              <w:rPr>
                <w:rFonts w:ascii="Times New Roman" w:hAnsi="Times New Roman"/>
                <w:sz w:val="24"/>
                <w:szCs w:val="24"/>
              </w:rPr>
              <w:t>-амилаза, мг/(с*л)</w:t>
            </w:r>
          </w:p>
        </w:tc>
        <w:tc>
          <w:tcPr>
            <w:tcW w:w="1418" w:type="dxa"/>
          </w:tcPr>
          <w:p w:rsidR="00EC1BB5" w:rsidRPr="00715CE2" w:rsidRDefault="00715CE2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белок, 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490" w:type="dxa"/>
          </w:tcPr>
          <w:p w:rsidR="00EC1BB5" w:rsidRPr="00715CE2" w:rsidRDefault="00715CE2" w:rsidP="0071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билирубин, </w:t>
            </w:r>
            <w:proofErr w:type="spellStart"/>
            <w:r w:rsidRPr="00715CE2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A8086F" w:rsidRPr="00715CE2" w:rsidTr="00A8086F">
        <w:trPr>
          <w:trHeight w:val="466"/>
        </w:trPr>
        <w:tc>
          <w:tcPr>
            <w:tcW w:w="3085" w:type="dxa"/>
          </w:tcPr>
          <w:p w:rsidR="00A8086F" w:rsidRPr="00715CE2" w:rsidRDefault="00A8086F" w:rsidP="00715CE2">
            <w:pPr>
              <w:tabs>
                <w:tab w:val="left" w:pos="477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начало опыта</w:t>
            </w:r>
          </w:p>
        </w:tc>
        <w:tc>
          <w:tcPr>
            <w:tcW w:w="1276" w:type="dxa"/>
            <w:vAlign w:val="center"/>
          </w:tcPr>
          <w:p w:rsidR="00A8086F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A8086F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A8086F" w:rsidRPr="00715CE2" w:rsidRDefault="00A8086F" w:rsidP="00A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90,0±0,1</w:t>
            </w:r>
          </w:p>
        </w:tc>
        <w:tc>
          <w:tcPr>
            <w:tcW w:w="1418" w:type="dxa"/>
            <w:vAlign w:val="center"/>
          </w:tcPr>
          <w:p w:rsidR="00A8086F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90" w:type="dxa"/>
            <w:vAlign w:val="center"/>
          </w:tcPr>
          <w:p w:rsidR="00A8086F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8086F" w:rsidRPr="00715CE2" w:rsidTr="00715CE2">
        <w:trPr>
          <w:trHeight w:val="567"/>
        </w:trPr>
        <w:tc>
          <w:tcPr>
            <w:tcW w:w="3085" w:type="dxa"/>
            <w:hideMark/>
          </w:tcPr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1-я Позитивный контроль</w:t>
            </w:r>
          </w:p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</w:t>
            </w:r>
          </w:p>
        </w:tc>
        <w:tc>
          <w:tcPr>
            <w:tcW w:w="1276" w:type="dxa"/>
            <w:vAlign w:val="center"/>
          </w:tcPr>
          <w:p w:rsidR="00EC1BB5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C1BB5" w:rsidRPr="00715CE2" w:rsidRDefault="00A8086F" w:rsidP="00A8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086F" w:rsidRPr="00715CE2" w:rsidTr="00715CE2">
        <w:trPr>
          <w:trHeight w:val="567"/>
        </w:trPr>
        <w:tc>
          <w:tcPr>
            <w:tcW w:w="3085" w:type="dxa"/>
            <w:hideMark/>
          </w:tcPr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2-я Опытная</w:t>
            </w:r>
          </w:p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 + 2 г/кг адсорбента</w:t>
            </w:r>
          </w:p>
        </w:tc>
        <w:tc>
          <w:tcPr>
            <w:tcW w:w="1276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EC1BB5" w:rsidRPr="00715CE2" w:rsidRDefault="00A8086F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490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86F" w:rsidRPr="00715CE2" w:rsidTr="00715CE2">
        <w:trPr>
          <w:trHeight w:val="567"/>
        </w:trPr>
        <w:tc>
          <w:tcPr>
            <w:tcW w:w="3085" w:type="dxa"/>
            <w:hideMark/>
          </w:tcPr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3-я Опытная</w:t>
            </w:r>
          </w:p>
          <w:p w:rsidR="00EC1BB5" w:rsidRPr="00715CE2" w:rsidRDefault="00EC1BB5" w:rsidP="00715CE2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+ 4,8 мг/кг ДАФС-25к</w:t>
            </w:r>
          </w:p>
        </w:tc>
        <w:tc>
          <w:tcPr>
            <w:tcW w:w="1276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0" w:type="dxa"/>
            <w:vAlign w:val="center"/>
          </w:tcPr>
          <w:p w:rsidR="00EC1BB5" w:rsidRPr="00715CE2" w:rsidRDefault="00360872" w:rsidP="0071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135738" w:rsidRDefault="00360872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</w:t>
      </w:r>
      <w:r w:rsidR="00F5498F">
        <w:rPr>
          <w:sz w:val="28"/>
          <w:szCs w:val="28"/>
        </w:rPr>
        <w:t xml:space="preserve"> 10 дней после введения </w:t>
      </w:r>
      <w:proofErr w:type="spellStart"/>
      <w:r w:rsidR="00F5498F">
        <w:rPr>
          <w:sz w:val="28"/>
          <w:szCs w:val="28"/>
          <w:lang w:val="en-US"/>
        </w:rPr>
        <w:t>CCl</w:t>
      </w:r>
      <w:proofErr w:type="spellEnd"/>
      <w:r w:rsidR="00F5498F" w:rsidRPr="002564C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у кур-несушек</w:t>
      </w:r>
      <w:r w:rsidR="00181C32">
        <w:rPr>
          <w:sz w:val="28"/>
          <w:szCs w:val="28"/>
        </w:rPr>
        <w:t xml:space="preserve"> всех групп</w:t>
      </w:r>
      <w:r w:rsidR="00E4745F">
        <w:rPr>
          <w:sz w:val="28"/>
          <w:szCs w:val="28"/>
        </w:rPr>
        <w:t xml:space="preserve"> </w:t>
      </w:r>
      <w:r w:rsidR="00181C32">
        <w:rPr>
          <w:sz w:val="28"/>
          <w:szCs w:val="28"/>
        </w:rPr>
        <w:t xml:space="preserve">отмечалось повышение АСТ и </w:t>
      </w:r>
      <w:r w:rsidR="00E4745F">
        <w:rPr>
          <w:sz w:val="28"/>
          <w:szCs w:val="28"/>
        </w:rPr>
        <w:t>АЛТ</w:t>
      </w:r>
      <w:r w:rsidR="00181C32">
        <w:rPr>
          <w:sz w:val="28"/>
          <w:szCs w:val="28"/>
        </w:rPr>
        <w:t xml:space="preserve"> по сравнению с началом опыта, однако в опытной группе, получавшей дополнительное количество ДАФС-25к, эти показатели были ниже, чем в других группах. В группе позитивного контроля отмечалось снижение уровня </w:t>
      </w:r>
      <w:proofErr w:type="gramStart"/>
      <w:r w:rsidR="00181C32">
        <w:rPr>
          <w:sz w:val="28"/>
          <w:szCs w:val="28"/>
        </w:rPr>
        <w:t>α-</w:t>
      </w:r>
      <w:proofErr w:type="gramEnd"/>
      <w:r w:rsidR="00181C32">
        <w:rPr>
          <w:sz w:val="28"/>
          <w:szCs w:val="28"/>
        </w:rPr>
        <w:t xml:space="preserve">амилазы, что свидетельствует о поражении </w:t>
      </w:r>
      <w:r w:rsidR="00787D71">
        <w:rPr>
          <w:sz w:val="28"/>
          <w:szCs w:val="28"/>
        </w:rPr>
        <w:t xml:space="preserve">печени </w:t>
      </w:r>
      <w:r w:rsidR="00181C32">
        <w:rPr>
          <w:sz w:val="28"/>
          <w:szCs w:val="28"/>
        </w:rPr>
        <w:t xml:space="preserve">у кур. Понижение уровня </w:t>
      </w:r>
      <w:r w:rsidR="00787D71">
        <w:rPr>
          <w:sz w:val="28"/>
          <w:szCs w:val="28"/>
        </w:rPr>
        <w:t>общего белка в контрольной и 2-й опытной группе указывает на нарушение белкового обмена, повреждение клет</w:t>
      </w:r>
      <w:r w:rsidR="00CE5812">
        <w:rPr>
          <w:sz w:val="28"/>
          <w:szCs w:val="28"/>
        </w:rPr>
        <w:t xml:space="preserve">ок печени и развитие </w:t>
      </w:r>
      <w:proofErr w:type="spellStart"/>
      <w:r w:rsidR="00CE5812">
        <w:rPr>
          <w:sz w:val="28"/>
          <w:szCs w:val="28"/>
        </w:rPr>
        <w:t>гепатоза</w:t>
      </w:r>
      <w:proofErr w:type="spellEnd"/>
      <w:r w:rsidR="00CE5812">
        <w:rPr>
          <w:sz w:val="28"/>
          <w:szCs w:val="28"/>
        </w:rPr>
        <w:t xml:space="preserve">. </w:t>
      </w:r>
      <w:proofErr w:type="gramStart"/>
      <w:r w:rsidR="00CE5812">
        <w:rPr>
          <w:sz w:val="28"/>
          <w:szCs w:val="28"/>
        </w:rPr>
        <w:t>Явная</w:t>
      </w:r>
      <w:proofErr w:type="gramEnd"/>
      <w:r w:rsidR="00CE5812">
        <w:rPr>
          <w:sz w:val="28"/>
          <w:szCs w:val="28"/>
        </w:rPr>
        <w:t xml:space="preserve"> </w:t>
      </w:r>
      <w:proofErr w:type="spellStart"/>
      <w:r w:rsidR="00CE5812">
        <w:rPr>
          <w:sz w:val="28"/>
          <w:szCs w:val="28"/>
        </w:rPr>
        <w:t>г</w:t>
      </w:r>
      <w:r w:rsidR="00787D71">
        <w:rPr>
          <w:sz w:val="28"/>
          <w:szCs w:val="28"/>
        </w:rPr>
        <w:t>ипербилирубинемия</w:t>
      </w:r>
      <w:proofErr w:type="spellEnd"/>
      <w:r w:rsidR="00787D71">
        <w:rPr>
          <w:sz w:val="28"/>
          <w:szCs w:val="28"/>
        </w:rPr>
        <w:t xml:space="preserve"> отмечалась у птицы </w:t>
      </w:r>
      <w:r w:rsidR="00CE5812">
        <w:rPr>
          <w:sz w:val="28"/>
          <w:szCs w:val="28"/>
        </w:rPr>
        <w:t xml:space="preserve">контрольной и 2-й опытной групп, что еще раз подтверждает развитие </w:t>
      </w:r>
      <w:proofErr w:type="spellStart"/>
      <w:r w:rsidR="00CE5812">
        <w:rPr>
          <w:sz w:val="28"/>
          <w:szCs w:val="28"/>
        </w:rPr>
        <w:t>гепатоза</w:t>
      </w:r>
      <w:proofErr w:type="spellEnd"/>
      <w:r w:rsidR="00CE5812">
        <w:rPr>
          <w:sz w:val="28"/>
          <w:szCs w:val="28"/>
        </w:rPr>
        <w:t xml:space="preserve"> </w:t>
      </w:r>
      <w:r w:rsidR="00787D71">
        <w:rPr>
          <w:sz w:val="28"/>
          <w:szCs w:val="28"/>
        </w:rPr>
        <w:t xml:space="preserve">(согласно литературным данным в </w:t>
      </w:r>
      <w:proofErr w:type="spellStart"/>
      <w:r w:rsidR="00787D71">
        <w:rPr>
          <w:sz w:val="28"/>
          <w:szCs w:val="28"/>
        </w:rPr>
        <w:t>предкладковый</w:t>
      </w:r>
      <w:proofErr w:type="spellEnd"/>
      <w:r w:rsidR="00787D71">
        <w:rPr>
          <w:sz w:val="28"/>
          <w:szCs w:val="28"/>
        </w:rPr>
        <w:t xml:space="preserve"> период и </w:t>
      </w:r>
      <w:proofErr w:type="spellStart"/>
      <w:r w:rsidR="00787D71">
        <w:rPr>
          <w:sz w:val="28"/>
          <w:szCs w:val="28"/>
        </w:rPr>
        <w:t>яйцекладковый</w:t>
      </w:r>
      <w:proofErr w:type="spellEnd"/>
      <w:r w:rsidR="00787D71">
        <w:rPr>
          <w:sz w:val="28"/>
          <w:szCs w:val="28"/>
        </w:rPr>
        <w:t xml:space="preserve"> период уровень билирубина может быть до 11 </w:t>
      </w:r>
      <w:proofErr w:type="spellStart"/>
      <w:r w:rsidR="00787D71">
        <w:rPr>
          <w:sz w:val="28"/>
          <w:szCs w:val="28"/>
        </w:rPr>
        <w:t>мкмоль</w:t>
      </w:r>
      <w:proofErr w:type="spellEnd"/>
      <w:r w:rsidR="00787D71">
        <w:rPr>
          <w:sz w:val="28"/>
          <w:szCs w:val="28"/>
        </w:rPr>
        <w:t>/л)</w:t>
      </w:r>
      <w:r w:rsidR="00CE5812">
        <w:rPr>
          <w:sz w:val="28"/>
          <w:szCs w:val="28"/>
        </w:rPr>
        <w:t>.</w:t>
      </w:r>
    </w:p>
    <w:p w:rsidR="00B777E2" w:rsidRDefault="00B777E2" w:rsidP="00B77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5CE2" w:rsidRPr="00A8086F" w:rsidRDefault="00A8086F" w:rsidP="00A808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5CE2">
        <w:rPr>
          <w:b/>
          <w:sz w:val="28"/>
          <w:szCs w:val="28"/>
        </w:rPr>
        <w:lastRenderedPageBreak/>
        <w:t xml:space="preserve">Биохимические показатели крови кур-несушек через </w:t>
      </w:r>
      <w:r>
        <w:rPr>
          <w:b/>
          <w:sz w:val="28"/>
          <w:szCs w:val="28"/>
        </w:rPr>
        <w:t>2</w:t>
      </w:r>
      <w:r w:rsidRPr="00715CE2">
        <w:rPr>
          <w:b/>
          <w:sz w:val="28"/>
          <w:szCs w:val="28"/>
        </w:rPr>
        <w:t>0 дней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3085"/>
        <w:gridCol w:w="1276"/>
        <w:gridCol w:w="1276"/>
        <w:gridCol w:w="1417"/>
        <w:gridCol w:w="1418"/>
        <w:gridCol w:w="1490"/>
      </w:tblGrid>
      <w:tr w:rsidR="00715CE2" w:rsidRPr="00715CE2" w:rsidTr="00890AB3">
        <w:trPr>
          <w:trHeight w:val="916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tabs>
                <w:tab w:val="left" w:pos="4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АСТ,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АЛТ,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715CE2">
              <w:rPr>
                <w:rFonts w:ascii="Times New Roman" w:hAnsi="Times New Roman"/>
                <w:sz w:val="24"/>
                <w:szCs w:val="24"/>
              </w:rPr>
              <w:t>-амилаза, мг/(с*л)</w:t>
            </w:r>
          </w:p>
        </w:tc>
        <w:tc>
          <w:tcPr>
            <w:tcW w:w="1418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белок, 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490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билирубин, </w:t>
            </w:r>
            <w:proofErr w:type="spellStart"/>
            <w:r w:rsidRPr="00715CE2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1-я Позитивный контроль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2-я Опытная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 + 2 г/кг адсорбента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90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3-я Опытная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+ 4,8 мг/кг ДАФС-25к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0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715CE2" w:rsidRDefault="00BD12A4" w:rsidP="003F34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20 дней после внутрижелудочного введения четыреххлористого углерода данные биохимического анализа показали, что дополнительное количество кормовой добавки ДАФС-25к оказало </w:t>
      </w:r>
      <w:proofErr w:type="spellStart"/>
      <w:r>
        <w:rPr>
          <w:sz w:val="28"/>
          <w:szCs w:val="28"/>
        </w:rPr>
        <w:t>гепатозащитный</w:t>
      </w:r>
      <w:proofErr w:type="spellEnd"/>
      <w:r>
        <w:rPr>
          <w:sz w:val="28"/>
          <w:szCs w:val="28"/>
        </w:rPr>
        <w:t xml:space="preserve"> эффект, а исследуемые показатели приблизились к норме, что говорит о восстановлении функции печени.</w:t>
      </w:r>
    </w:p>
    <w:p w:rsidR="00A8086F" w:rsidRPr="00715CE2" w:rsidRDefault="00A8086F" w:rsidP="00A808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5CE2">
        <w:rPr>
          <w:b/>
          <w:sz w:val="28"/>
          <w:szCs w:val="28"/>
        </w:rPr>
        <w:t xml:space="preserve">Биохимические показатели крови кур-несушек через </w:t>
      </w:r>
      <w:r>
        <w:rPr>
          <w:b/>
          <w:sz w:val="28"/>
          <w:szCs w:val="28"/>
        </w:rPr>
        <w:t>3</w:t>
      </w:r>
      <w:r w:rsidRPr="00715CE2">
        <w:rPr>
          <w:b/>
          <w:sz w:val="28"/>
          <w:szCs w:val="28"/>
        </w:rPr>
        <w:t>0 дней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3085"/>
        <w:gridCol w:w="1276"/>
        <w:gridCol w:w="1276"/>
        <w:gridCol w:w="1417"/>
        <w:gridCol w:w="1418"/>
        <w:gridCol w:w="1490"/>
      </w:tblGrid>
      <w:tr w:rsidR="00715CE2" w:rsidRPr="00715CE2" w:rsidTr="00890AB3">
        <w:trPr>
          <w:trHeight w:val="916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tabs>
                <w:tab w:val="left" w:pos="4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АСТ,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>АЛТ, Е/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715CE2">
              <w:rPr>
                <w:rFonts w:ascii="Times New Roman" w:hAnsi="Times New Roman"/>
                <w:sz w:val="24"/>
                <w:szCs w:val="24"/>
              </w:rPr>
              <w:t>-амилаза, мг/(с*л)</w:t>
            </w:r>
          </w:p>
        </w:tc>
        <w:tc>
          <w:tcPr>
            <w:tcW w:w="1418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белок, </w:t>
            </w:r>
            <w:proofErr w:type="gramStart"/>
            <w:r w:rsidRPr="00715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490" w:type="dxa"/>
          </w:tcPr>
          <w:p w:rsidR="00715CE2" w:rsidRPr="00715CE2" w:rsidRDefault="00715CE2" w:rsidP="00890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sz w:val="24"/>
                <w:szCs w:val="24"/>
              </w:rPr>
              <w:t xml:space="preserve">Общий билирубин, </w:t>
            </w:r>
            <w:proofErr w:type="spellStart"/>
            <w:r w:rsidRPr="00715CE2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715CE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1-я Позитивный контроль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715CE2" w:rsidRPr="00715CE2" w:rsidRDefault="00CE5812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2-я Опытная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+ 1,6 мг/кг ДАФС-25к + 2 г/кг адсорбента</w:t>
            </w:r>
          </w:p>
        </w:tc>
        <w:tc>
          <w:tcPr>
            <w:tcW w:w="1276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90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15CE2" w:rsidRPr="00715CE2" w:rsidTr="00890AB3">
        <w:trPr>
          <w:trHeight w:val="567"/>
        </w:trPr>
        <w:tc>
          <w:tcPr>
            <w:tcW w:w="3085" w:type="dxa"/>
            <w:hideMark/>
          </w:tcPr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3-я Опытная</w:t>
            </w:r>
          </w:p>
          <w:p w:rsidR="00715CE2" w:rsidRPr="00715CE2" w:rsidRDefault="00715CE2" w:rsidP="00890AB3">
            <w:pPr>
              <w:rPr>
                <w:rFonts w:ascii="Times New Roman" w:hAnsi="Times New Roman"/>
                <w:sz w:val="24"/>
                <w:szCs w:val="24"/>
              </w:rPr>
            </w:pPr>
            <w:r w:rsidRPr="00715CE2">
              <w:rPr>
                <w:rFonts w:ascii="Times New Roman" w:hAnsi="Times New Roman"/>
                <w:bCs/>
                <w:sz w:val="24"/>
                <w:szCs w:val="24"/>
              </w:rPr>
              <w:t>ОР + 4,8 мг/кг ДАФС-25к</w:t>
            </w:r>
          </w:p>
        </w:tc>
        <w:tc>
          <w:tcPr>
            <w:tcW w:w="1276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0" w:type="dxa"/>
            <w:vAlign w:val="center"/>
          </w:tcPr>
          <w:p w:rsidR="00715CE2" w:rsidRPr="00715CE2" w:rsidRDefault="00BD12A4" w:rsidP="008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135738" w:rsidRPr="00B777E2" w:rsidRDefault="00BD12A4" w:rsidP="00B777E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30-му дню исследования биохимические показатели крови </w:t>
      </w:r>
      <w:r w:rsidR="00135738">
        <w:rPr>
          <w:sz w:val="28"/>
          <w:szCs w:val="28"/>
        </w:rPr>
        <w:t>у всей опытной птицы уже были в пределах физиологической нормы.</w:t>
      </w:r>
      <w:r w:rsidR="005E1B93">
        <w:rPr>
          <w:sz w:val="28"/>
          <w:szCs w:val="28"/>
        </w:rPr>
        <w:t xml:space="preserve"> Считаем, что повышение дозы ДАФС-25к до 4,8 мг/кг корма целесообразно вносить в острый период интоксикации и к 10-му </w:t>
      </w:r>
      <w:proofErr w:type="gramStart"/>
      <w:r w:rsidR="005E1B93">
        <w:rPr>
          <w:sz w:val="28"/>
          <w:szCs w:val="28"/>
        </w:rPr>
        <w:t>дню</w:t>
      </w:r>
      <w:proofErr w:type="gramEnd"/>
      <w:r w:rsidR="005E1B93">
        <w:rPr>
          <w:sz w:val="28"/>
          <w:szCs w:val="28"/>
        </w:rPr>
        <w:t xml:space="preserve"> возможно перейти на профилактическую дозу ДАФС-25к 1,6 мг/кг корма.</w:t>
      </w:r>
    </w:p>
    <w:p w:rsidR="00135738" w:rsidRPr="002024C8" w:rsidRDefault="00135738" w:rsidP="00135738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действия ДАФС-25К</w:t>
      </w:r>
    </w:p>
    <w:p w:rsidR="00135738" w:rsidRDefault="00135738" w:rsidP="00B777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4C8">
        <w:rPr>
          <w:rFonts w:ascii="Times New Roman" w:hAnsi="Times New Roman"/>
          <w:sz w:val="28"/>
          <w:szCs w:val="28"/>
        </w:rPr>
        <w:t xml:space="preserve">К специфическим антиоксидантным ферментам относится </w:t>
      </w:r>
      <w:proofErr w:type="spellStart"/>
      <w:r w:rsidRPr="002024C8">
        <w:rPr>
          <w:rFonts w:ascii="Times New Roman" w:hAnsi="Times New Roman"/>
          <w:sz w:val="28"/>
          <w:szCs w:val="28"/>
        </w:rPr>
        <w:t>глутатионпероксидаза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(ГП), она служит катализатором реакции восстановления перекисных липидов с помощью </w:t>
      </w:r>
      <w:proofErr w:type="spellStart"/>
      <w:r w:rsidRPr="002024C8">
        <w:rPr>
          <w:rFonts w:ascii="Times New Roman" w:hAnsi="Times New Roman"/>
          <w:sz w:val="28"/>
          <w:szCs w:val="28"/>
        </w:rPr>
        <w:t>глутатиона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, многократно ускоряя этот процесс. </w:t>
      </w:r>
      <w:proofErr w:type="spellStart"/>
      <w:r w:rsidRPr="002024C8">
        <w:rPr>
          <w:rFonts w:ascii="Times New Roman" w:hAnsi="Times New Roman"/>
          <w:sz w:val="28"/>
          <w:szCs w:val="28"/>
        </w:rPr>
        <w:t>Глутатионпероксидаза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также как и каталаза способна разрушать перекись водорода, при этом она сравнительно более чувствительна к низким концентрациям перекиси водорода. </w:t>
      </w:r>
      <w:proofErr w:type="spellStart"/>
      <w:r w:rsidRPr="002024C8">
        <w:rPr>
          <w:rFonts w:ascii="Times New Roman" w:hAnsi="Times New Roman"/>
          <w:sz w:val="28"/>
          <w:szCs w:val="28"/>
        </w:rPr>
        <w:t>Глутатион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4C8">
        <w:rPr>
          <w:rFonts w:ascii="Times New Roman" w:hAnsi="Times New Roman"/>
          <w:sz w:val="28"/>
          <w:szCs w:val="28"/>
        </w:rPr>
        <w:t>пероксидаза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является по своей структуре </w:t>
      </w:r>
      <w:proofErr w:type="spellStart"/>
      <w:r w:rsidRPr="002024C8">
        <w:rPr>
          <w:rFonts w:ascii="Times New Roman" w:hAnsi="Times New Roman"/>
          <w:sz w:val="28"/>
          <w:szCs w:val="28"/>
        </w:rPr>
        <w:t>металлоферментом</w:t>
      </w:r>
      <w:proofErr w:type="spellEnd"/>
      <w:r w:rsidRPr="002024C8">
        <w:rPr>
          <w:rFonts w:ascii="Times New Roman" w:hAnsi="Times New Roman"/>
          <w:sz w:val="28"/>
          <w:szCs w:val="28"/>
        </w:rPr>
        <w:t>. Для ее выработки необходим микроэлемент селен, причем в достаточно больших количествах так, как каждая молекула ГП содержит четыре атома селена. Наибольшее количество ее сосредоточено в печени. Активность ГП в организме во многом определяет динамику патологических процессов. При снижении активности данного фермента нарушается защита клеток печени от опасных химических веществ, повышается риск развития патологии печен</w:t>
      </w:r>
      <w:proofErr w:type="gramStart"/>
      <w:r w:rsidRPr="002024C8">
        <w:rPr>
          <w:rFonts w:ascii="Times New Roman" w:hAnsi="Times New Roman"/>
          <w:sz w:val="28"/>
          <w:szCs w:val="28"/>
        </w:rPr>
        <w:t>и(</w:t>
      </w:r>
      <w:proofErr w:type="gramEnd"/>
      <w:r w:rsidRPr="002024C8">
        <w:rPr>
          <w:rFonts w:ascii="Times New Roman" w:hAnsi="Times New Roman"/>
          <w:sz w:val="28"/>
          <w:szCs w:val="28"/>
        </w:rPr>
        <w:t xml:space="preserve"> токсическая дистрофия печени, гепатит, цирроз, жировая дистрофия, рак печени).Это подтверждено многими авторами( Арутюнян А. В., Дубинина Е. Е. Зыбина Н.Н. 2000., </w:t>
      </w:r>
      <w:proofErr w:type="spellStart"/>
      <w:r w:rsidRPr="002024C8">
        <w:rPr>
          <w:rFonts w:ascii="Times New Roman" w:hAnsi="Times New Roman"/>
          <w:sz w:val="28"/>
          <w:szCs w:val="28"/>
        </w:rPr>
        <w:t>Казимирко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4C8">
        <w:rPr>
          <w:rFonts w:ascii="Times New Roman" w:hAnsi="Times New Roman"/>
          <w:sz w:val="28"/>
          <w:szCs w:val="28"/>
        </w:rPr>
        <w:t>В.К.,Мальцев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2024C8">
        <w:rPr>
          <w:rFonts w:ascii="Times New Roman" w:hAnsi="Times New Roman"/>
          <w:sz w:val="28"/>
          <w:szCs w:val="28"/>
        </w:rPr>
        <w:t>Бутлин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О.В. и др. 2004.,Путилина Ф.Е., Галкина О.В. и др., 2008., </w:t>
      </w:r>
      <w:proofErr w:type="spellStart"/>
      <w:r w:rsidRPr="002024C8">
        <w:rPr>
          <w:rFonts w:ascii="Times New Roman" w:hAnsi="Times New Roman"/>
          <w:sz w:val="28"/>
          <w:szCs w:val="28"/>
          <w:lang w:val="en-US"/>
        </w:rPr>
        <w:t>Kusano</w:t>
      </w:r>
      <w:proofErr w:type="spellEnd"/>
      <w:r w:rsidRPr="002024C8">
        <w:rPr>
          <w:rFonts w:ascii="Times New Roman" w:hAnsi="Times New Roman"/>
          <w:sz w:val="28"/>
          <w:szCs w:val="28"/>
        </w:rPr>
        <w:t xml:space="preserve"> С., </w:t>
      </w:r>
      <w:r w:rsidRPr="002024C8">
        <w:rPr>
          <w:rFonts w:ascii="Times New Roman" w:hAnsi="Times New Roman"/>
          <w:sz w:val="28"/>
          <w:szCs w:val="28"/>
          <w:lang w:val="en-US"/>
        </w:rPr>
        <w:t>Ferrari</w:t>
      </w:r>
      <w:r w:rsidRPr="002024C8">
        <w:rPr>
          <w:rFonts w:ascii="Times New Roman" w:hAnsi="Times New Roman"/>
          <w:sz w:val="28"/>
          <w:szCs w:val="28"/>
        </w:rPr>
        <w:t xml:space="preserve"> В.,2008).</w:t>
      </w:r>
    </w:p>
    <w:p w:rsidR="00B777E2" w:rsidRDefault="00B777E2" w:rsidP="00B777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738" w:rsidRPr="002061A5" w:rsidRDefault="00135738" w:rsidP="00135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61A5">
        <w:rPr>
          <w:rFonts w:ascii="Times New Roman" w:hAnsi="Times New Roman"/>
          <w:b/>
          <w:sz w:val="28"/>
          <w:szCs w:val="28"/>
        </w:rPr>
        <w:lastRenderedPageBreak/>
        <w:t xml:space="preserve">Выводы: </w:t>
      </w:r>
    </w:p>
    <w:p w:rsidR="00135738" w:rsidRDefault="00135738" w:rsidP="001357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ДАФС-25к</w:t>
      </w:r>
      <w:r w:rsidR="005E1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предупреждает отравление организма токсическими веществами в дозе 1,6 мг/кг корма.</w:t>
      </w:r>
    </w:p>
    <w:p w:rsidR="00EC1BB5" w:rsidRDefault="00135738" w:rsidP="005E1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Кормовая добавка ДАФС-25к</w:t>
      </w:r>
      <w:r>
        <w:rPr>
          <w:rFonts w:ascii="Times New Roman" w:hAnsi="Times New Roman"/>
          <w:sz w:val="28"/>
          <w:szCs w:val="28"/>
        </w:rPr>
        <w:t xml:space="preserve"> в дозе 4,8 мг/кг корма обладает терапевтическим действием</w:t>
      </w:r>
      <w:r w:rsidR="005E1B93">
        <w:rPr>
          <w:rFonts w:ascii="Times New Roman" w:hAnsi="Times New Roman"/>
          <w:sz w:val="28"/>
          <w:szCs w:val="28"/>
        </w:rPr>
        <w:t xml:space="preserve"> и ее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5E1B93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ть пр</w:t>
      </w:r>
      <w:r w:rsidR="005E1B93">
        <w:rPr>
          <w:rFonts w:ascii="Times New Roman" w:hAnsi="Times New Roman"/>
          <w:sz w:val="28"/>
          <w:szCs w:val="28"/>
        </w:rPr>
        <w:t xml:space="preserve">и остром отравлении в течение </w:t>
      </w:r>
      <w:r>
        <w:rPr>
          <w:rFonts w:ascii="Times New Roman" w:hAnsi="Times New Roman"/>
          <w:sz w:val="28"/>
          <w:szCs w:val="28"/>
        </w:rPr>
        <w:t>10 дней.</w:t>
      </w:r>
    </w:p>
    <w:p w:rsidR="005E1B93" w:rsidRPr="005E1B93" w:rsidRDefault="005E1B93" w:rsidP="005E1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ДАФС-25к с адсорбентом так же обладает высокой </w:t>
      </w:r>
      <w:proofErr w:type="spellStart"/>
      <w:r>
        <w:rPr>
          <w:rFonts w:ascii="Times New Roman" w:hAnsi="Times New Roman"/>
          <w:sz w:val="28"/>
          <w:szCs w:val="28"/>
        </w:rPr>
        <w:t>гепатозащитной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функцией, за счет их комбинированного совместного действия.</w:t>
      </w:r>
    </w:p>
    <w:sectPr w:rsidR="005E1B93" w:rsidRPr="005E1B93" w:rsidSect="00B7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F3E"/>
    <w:multiLevelType w:val="hybridMultilevel"/>
    <w:tmpl w:val="0968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44"/>
    <w:rsid w:val="00046171"/>
    <w:rsid w:val="000F0A75"/>
    <w:rsid w:val="00121A00"/>
    <w:rsid w:val="00135738"/>
    <w:rsid w:val="001646A9"/>
    <w:rsid w:val="00181C32"/>
    <w:rsid w:val="00194E44"/>
    <w:rsid w:val="001B693D"/>
    <w:rsid w:val="00210BDC"/>
    <w:rsid w:val="00211BF9"/>
    <w:rsid w:val="00237A77"/>
    <w:rsid w:val="002420DB"/>
    <w:rsid w:val="002564CC"/>
    <w:rsid w:val="002B0336"/>
    <w:rsid w:val="002B350C"/>
    <w:rsid w:val="002C3C51"/>
    <w:rsid w:val="00360872"/>
    <w:rsid w:val="00370AED"/>
    <w:rsid w:val="0038070C"/>
    <w:rsid w:val="003E7694"/>
    <w:rsid w:val="003E770F"/>
    <w:rsid w:val="003F3487"/>
    <w:rsid w:val="00403C27"/>
    <w:rsid w:val="00455A14"/>
    <w:rsid w:val="004B1DB8"/>
    <w:rsid w:val="00532E9A"/>
    <w:rsid w:val="0059092A"/>
    <w:rsid w:val="005B3B20"/>
    <w:rsid w:val="005B40A3"/>
    <w:rsid w:val="005D1B02"/>
    <w:rsid w:val="005E1B93"/>
    <w:rsid w:val="00601547"/>
    <w:rsid w:val="006228EB"/>
    <w:rsid w:val="00622B05"/>
    <w:rsid w:val="00661633"/>
    <w:rsid w:val="00662BC4"/>
    <w:rsid w:val="006A445E"/>
    <w:rsid w:val="006C1704"/>
    <w:rsid w:val="006E46BA"/>
    <w:rsid w:val="00715CE2"/>
    <w:rsid w:val="00787D71"/>
    <w:rsid w:val="007C266A"/>
    <w:rsid w:val="008D1CBF"/>
    <w:rsid w:val="008E2C69"/>
    <w:rsid w:val="008E58C4"/>
    <w:rsid w:val="00960594"/>
    <w:rsid w:val="00986854"/>
    <w:rsid w:val="00A35C21"/>
    <w:rsid w:val="00A8086F"/>
    <w:rsid w:val="00AB0219"/>
    <w:rsid w:val="00AB60BA"/>
    <w:rsid w:val="00B029DB"/>
    <w:rsid w:val="00B41A2C"/>
    <w:rsid w:val="00B73C8B"/>
    <w:rsid w:val="00B770A6"/>
    <w:rsid w:val="00B777E2"/>
    <w:rsid w:val="00B8295D"/>
    <w:rsid w:val="00BD12A4"/>
    <w:rsid w:val="00BF0E78"/>
    <w:rsid w:val="00C32CF8"/>
    <w:rsid w:val="00C401AB"/>
    <w:rsid w:val="00C57295"/>
    <w:rsid w:val="00CA6558"/>
    <w:rsid w:val="00CE5812"/>
    <w:rsid w:val="00D43286"/>
    <w:rsid w:val="00DC019B"/>
    <w:rsid w:val="00DD709F"/>
    <w:rsid w:val="00DF3A74"/>
    <w:rsid w:val="00E34733"/>
    <w:rsid w:val="00E403E7"/>
    <w:rsid w:val="00E4745F"/>
    <w:rsid w:val="00E603B9"/>
    <w:rsid w:val="00E7137F"/>
    <w:rsid w:val="00EA2F36"/>
    <w:rsid w:val="00EA4398"/>
    <w:rsid w:val="00EC1BB5"/>
    <w:rsid w:val="00EC6DE0"/>
    <w:rsid w:val="00ED286E"/>
    <w:rsid w:val="00F44526"/>
    <w:rsid w:val="00F5498F"/>
    <w:rsid w:val="00F97B3B"/>
    <w:rsid w:val="00FA248A"/>
    <w:rsid w:val="00FF2661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808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80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2015-09-03T09:23:00Z</cp:lastPrinted>
  <dcterms:created xsi:type="dcterms:W3CDTF">2014-04-28T07:58:00Z</dcterms:created>
  <dcterms:modified xsi:type="dcterms:W3CDTF">2016-04-11T13:14:00Z</dcterms:modified>
</cp:coreProperties>
</file>